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it-IT"/>
        </w:rPr>
      </w:pPr>
      <w:r>
        <w:rPr>
          <w:b/>
          <w:lang w:val="it-IT"/>
        </w:rPr>
        <w:t>ISTRUZIONI PER APPLICAZIONE DEL REGOLAMENTO SUI FIUMI SOČA (ISONZO) E KORITNICA</w:t>
      </w:r>
      <w:r/>
    </w:p>
    <w:p>
      <w:pPr>
        <w:pStyle w:val="ListParagraph"/>
        <w:rPr>
          <w:sz w:val="22"/>
          <w:sz w:val="22"/>
          <w:szCs w:val="22"/>
          <w:rFonts w:ascii="Calibri" w:hAnsi="Calibri" w:eastAsia="" w:cs="Times New Roman" w:asciiTheme="minorHAnsi" w:eastAsiaTheme="minorEastAsia" w:hAnsiTheme="minorHAnsi"/>
          <w:color w:val="00000A"/>
          <w:lang w:val="it-IT" w:eastAsia="sl-SI" w:bidi="ar-SA"/>
        </w:rPr>
      </w:pPr>
      <w:r>
        <w:rPr>
          <w:rFonts w:cs="Times New Roman"/>
          <w:lang w:val="it-IT"/>
        </w:rPr>
      </w:r>
      <w:r/>
    </w:p>
    <w:p>
      <w:pPr>
        <w:pStyle w:val="ListParagraph"/>
        <w:numPr>
          <w:ilvl w:val="0"/>
          <w:numId w:val="1"/>
        </w:numPr>
        <w:jc w:val="both"/>
        <w:rPr>
          <w:lang w:val="it-IT"/>
        </w:rPr>
      </w:pPr>
      <w:r>
        <w:rPr>
          <w:lang w:val="it-IT"/>
        </w:rPr>
        <w:t xml:space="preserve">Quest’anno sono in vigore il Decreto sul regolamento di navigazione fluviale e il Regolamento adatto. Adesso tutti gli utenti devono rispettare le disposizioni in vigore. I turisti che visitano dei centri informazioni turistiche in tre comuni devono essere informati su tutto questo. Il personale permanente o temporaneo nei centri informazioni turistiche deve essere informato sul regolamento in vigore in modo dettagliato, per poter dare informazioni complesse, esatte e indipendenti. Nel caso di esistenza di una lacuna nelle nuove regole, le persone responsabili per l’informazione nei centri informazioni turistiche prenderanno iniziativa all’Amministrazione intercomunale per eliminare le anomalie. </w:t>
      </w:r>
      <w:r/>
    </w:p>
    <w:p>
      <w:pPr>
        <w:pStyle w:val="ListParagraph"/>
        <w:numPr>
          <w:ilvl w:val="0"/>
          <w:numId w:val="1"/>
        </w:numPr>
        <w:jc w:val="both"/>
      </w:pPr>
      <w:r>
        <w:rPr>
          <w:lang w:val="it-IT"/>
        </w:rPr>
        <w:t xml:space="preserve">Gli utenti della zona di navigazione che eseguono l’attività commerciale, ora non avranno dei permessi; adesso si paga una somma forfettaria (2.500 €) che comprende l’intera attività commerciale del pagatore individuale nella zona di navigazione. A tal fine i pagatori prendono un numero illimitato di attestazioni di avvenuto pagamento della somma forfettaria che lo devono portare con sé ogni volta quando usano la zona di navigazione. Gli attestamenti saranno rilasciati dall’Amministrazione intercomunale. </w:t>
      </w:r>
      <w:r/>
    </w:p>
    <w:p>
      <w:pPr>
        <w:pStyle w:val="ListParagraph"/>
        <w:numPr>
          <w:ilvl w:val="0"/>
          <w:numId w:val="1"/>
        </w:numPr>
        <w:jc w:val="both"/>
        <w:rPr>
          <w:b/>
          <w:b/>
          <w:lang w:val="it-IT"/>
        </w:rPr>
      </w:pPr>
      <w:r>
        <w:rPr>
          <w:b/>
          <w:lang w:val="it-IT"/>
        </w:rPr>
        <w:t>Altri utenti – turisti – devono comprare gli appositi permessi che quest’anno saranno nuovi (solo quattro diversi).</w:t>
      </w:r>
      <w:r/>
    </w:p>
    <w:p>
      <w:pPr>
        <w:pStyle w:val="ListParagraph"/>
        <w:jc w:val="both"/>
        <w:rPr>
          <w:b/>
          <w:b/>
          <w:lang w:val="it-IT"/>
        </w:rPr>
      </w:pPr>
      <w:r>
        <w:rPr>
          <w:b/>
          <w:lang w:val="it-IT"/>
        </w:rPr>
        <w:t xml:space="preserve">Chiunque usa un’imbarcazione per più di tre persone, deve collocare sull’imbarcazione un permesso giornaliero per l’imbarcazione che porta più di tre persone (50 €). </w:t>
      </w:r>
      <w:r/>
    </w:p>
    <w:p>
      <w:pPr>
        <w:pStyle w:val="ListParagraph"/>
        <w:jc w:val="both"/>
        <w:rPr>
          <w:b/>
          <w:b/>
          <w:lang w:val="it-IT"/>
        </w:rPr>
      </w:pPr>
      <w:r>
        <w:rPr>
          <w:b/>
          <w:lang w:val="it-IT"/>
        </w:rPr>
        <w:t>Chiunque usa un’imbarcazione o un dispositivo galleggiante per più di tre persone deve avere durante l’uso con sé un permesso giornaliero (3 €), settimanale (1</w:t>
      </w:r>
      <w:r>
        <w:rPr>
          <w:b/>
          <w:lang w:val="it-IT"/>
        </w:rPr>
        <w:t>6</w:t>
      </w:r>
      <w:r>
        <w:rPr>
          <w:b/>
          <w:lang w:val="it-IT"/>
        </w:rPr>
        <w:t xml:space="preserve"> €) o stagionale con il nome dell’utente (30 €). Dati anagrafici sull’acquisto dei permessi stagionali devono essere evidenziati e custoditi dai centri informazioni turistiche che vendono tali permessi. </w:t>
      </w:r>
      <w:r/>
    </w:p>
    <w:p>
      <w:pPr>
        <w:pStyle w:val="ListParagraph"/>
        <w:numPr>
          <w:ilvl w:val="0"/>
          <w:numId w:val="1"/>
        </w:numPr>
        <w:jc w:val="both"/>
        <w:rPr>
          <w:lang w:val="it-IT"/>
        </w:rPr>
      </w:pPr>
      <w:r>
        <w:rPr>
          <w:lang w:val="it-IT"/>
        </w:rPr>
        <w:t>Informatori (non sono più stabiliti nel decreto e si considerano informatori nei centri informazioni turistiche) devono avvertire gli utenti della zona di navigazione degli obblighi nella zona di nuoto – Čezsoča e il ponte a Volče (articolo 5 del Decreto). Navigazione è possibile in maniera simile a come avviene attualmente (articolo 7); una novità e che a quattro punti d’uscita si può navigare fino alle ore 20:00 (articolo 8).</w:t>
      </w:r>
      <w:r/>
    </w:p>
    <w:p>
      <w:pPr>
        <w:pStyle w:val="ListParagraph"/>
        <w:numPr>
          <w:ilvl w:val="0"/>
          <w:numId w:val="1"/>
        </w:numPr>
        <w:jc w:val="both"/>
        <w:rPr>
          <w:lang w:val="it-IT"/>
        </w:rPr>
      </w:pPr>
      <w:r>
        <w:rPr>
          <w:lang w:val="it-IT"/>
        </w:rPr>
        <w:t xml:space="preserve">Uno speciale regolamento di navigazione è possibile per i membri registrati di associazioni di kajak (identificazione dell’Associazione Kayak Slovenia) (articolo 20). Questi utenti devono essere informati che l’Amministrazione intercomunale a questo scopo rilascerà l’autorizzazione in forma di una decisione amministrativa, perciò le persone interessate devono presentare la domanda almeno 14 giorni prima del evento. </w:t>
      </w:r>
      <w:r/>
    </w:p>
    <w:p>
      <w:pPr>
        <w:pStyle w:val="Normal"/>
        <w:numPr>
          <w:ilvl w:val="0"/>
          <w:numId w:val="1"/>
        </w:numPr>
        <w:spacing w:lineRule="auto" w:line="240" w:before="0" w:after="0"/>
        <w:jc w:val="both"/>
        <w:rPr>
          <w:u w:val="single"/>
          <w:rFonts w:ascii="Calibri" w:hAnsi="Calibri" w:eastAsia="Calibri" w:cs="Times New Roman"/>
          <w:lang w:val="it-IT"/>
        </w:rPr>
      </w:pPr>
      <w:r>
        <w:rPr>
          <w:rFonts w:eastAsia="Calibri" w:cs="Times New Roman"/>
          <w:u w:val="single"/>
          <w:lang w:val="it-IT"/>
        </w:rPr>
        <w:t>Permessi di rafting – giornalieri</w:t>
      </w:r>
      <w:r/>
    </w:p>
    <w:p>
      <w:pPr>
        <w:pStyle w:val="Normal"/>
        <w:tabs>
          <w:tab w:val="right" w:pos="9072" w:leader="none"/>
        </w:tabs>
        <w:spacing w:lineRule="auto" w:line="240" w:before="0" w:after="0"/>
        <w:ind w:left="720" w:hanging="0"/>
        <w:jc w:val="both"/>
        <w:rPr>
          <w:rFonts w:ascii="Calibri" w:hAnsi="Calibri" w:eastAsia="Calibri" w:cs="Times New Roman"/>
        </w:rPr>
      </w:pPr>
      <w:r>
        <w:rPr>
          <w:rFonts w:eastAsia="Calibri" w:cs="Times New Roman"/>
          <w:lang w:val="it-IT"/>
        </w:rPr>
        <w:t xml:space="preserve">Prima dell'acquisto del permesso di rafting giornaliero (50 €), l'acquirente deve presentare un valido brevetto di soccorritore fluviale per ogni permesso acquistato e indicare il numero del brevetto (articolo 9 del Decreto). Con un brevetto, l’acquirente può acquistare un solo permesso al giorno. La fotocopia del valido brevetto si allega al riporto mensile sui permessi acquistati. </w:t>
        <w:tab/>
      </w:r>
      <w:r/>
    </w:p>
    <w:p>
      <w:pPr>
        <w:pStyle w:val="Normal"/>
        <w:tabs>
          <w:tab w:val="right" w:pos="9072" w:leader="none"/>
        </w:tabs>
        <w:spacing w:lineRule="auto" w:line="240" w:before="0" w:after="0"/>
        <w:ind w:left="720" w:hanging="0"/>
        <w:jc w:val="both"/>
        <w:rPr>
          <w:sz w:val="22"/>
          <w:sz w:val="22"/>
          <w:szCs w:val="22"/>
          <w:rFonts w:ascii="Calibri" w:hAnsi="Calibri" w:eastAsia="Calibri" w:cs="Times New Roman" w:asciiTheme="minorHAnsi" w:hAnsiTheme="minorHAnsi"/>
          <w:color w:val="00000A"/>
          <w:lang w:val="sl-SI" w:eastAsia="sl-SI" w:bidi="ar-SA"/>
        </w:rPr>
      </w:pPr>
      <w:r>
        <w:rPr>
          <w:rFonts w:eastAsia="Calibri" w:cs="Times New Roman"/>
        </w:rPr>
      </w:r>
      <w:r/>
    </w:p>
    <w:p>
      <w:pPr>
        <w:pStyle w:val="ListParagraph"/>
        <w:jc w:val="both"/>
        <w:rPr>
          <w:b/>
          <w:b/>
          <w:lang w:val="it-IT"/>
        </w:rPr>
      </w:pPr>
      <w:r>
        <w:rPr>
          <w:b/>
          <w:lang w:val="it-IT"/>
        </w:rPr>
        <w:t>Gli acquirenti di tutti i permessi devono essere informati in modo esplicito che la perdita del permesso va al carico dell’utente e non si può sostituirlo gratuitamente (articolo 18).</w:t>
      </w:r>
      <w:r/>
    </w:p>
    <w:p>
      <w:pPr>
        <w:pStyle w:val="Normal"/>
        <w:jc w:val="both"/>
        <w:rPr>
          <w:sz w:val="22"/>
          <w:sz w:val="22"/>
          <w:szCs w:val="22"/>
          <w:rFonts w:ascii="Calibri" w:hAnsi="Calibri" w:eastAsia="" w:cs="" w:asciiTheme="minorHAnsi" w:cstheme="minorBidi" w:eastAsiaTheme="minorEastAsia" w:hAnsiTheme="minorHAnsi"/>
          <w:color w:val="00000A"/>
          <w:lang w:val="it-IT" w:eastAsia="sl-SI" w:bidi="ar-SA"/>
        </w:rPr>
      </w:pPr>
      <w:r>
        <w:rPr>
          <w:lang w:val="it-IT"/>
        </w:rPr>
      </w:r>
      <w:r/>
    </w:p>
    <w:p>
      <w:pPr>
        <w:pStyle w:val="Normal"/>
        <w:jc w:val="both"/>
        <w:rPr>
          <w:lang w:val="it-IT"/>
        </w:rPr>
      </w:pPr>
      <w:r>
        <w:rPr>
          <w:lang w:val="it-IT"/>
        </w:rPr>
        <w:t>Fornito da: Simon Leban</w:t>
      </w:r>
      <w:r/>
    </w:p>
    <w:p>
      <w:pPr>
        <w:pStyle w:val="Normal"/>
        <w:jc w:val="both"/>
        <w:rPr>
          <w:sz w:val="22"/>
          <w:sz w:val="22"/>
          <w:szCs w:val="22"/>
          <w:rFonts w:ascii="Calibri" w:hAnsi="Calibri" w:eastAsia="" w:cs="" w:asciiTheme="minorHAnsi" w:cstheme="minorBidi" w:eastAsiaTheme="minorEastAsia" w:hAnsiTheme="minorHAnsi"/>
          <w:color w:val="00000A"/>
          <w:lang w:val="it-IT" w:eastAsia="sl-SI" w:bidi="ar-SA"/>
        </w:rPr>
      </w:pPr>
      <w:r>
        <w:rPr>
          <w:lang w:val="it-IT"/>
        </w:rPr>
      </w:r>
      <w:r/>
    </w:p>
    <w:p>
      <w:pPr>
        <w:pStyle w:val="Normal"/>
        <w:spacing w:before="0" w:after="200"/>
        <w:jc w:val="both"/>
      </w:pPr>
      <w:r>
        <w:rPr>
          <w:lang w:val="it-IT"/>
        </w:rPr>
        <w:t xml:space="preserve">Nota: Canyoning oppure Sušec non è più oggetto del decreto sulla navigazione. </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l-SI" w:eastAsia="sl-SI"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846fe5"/>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sl-SI" w:eastAsia="sl-SI"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d202af"/>
    <w:rPr>
      <w:color w:val="0000FF"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1d5c48"/>
    <w:pPr>
      <w:spacing w:lineRule="auto" w:line="240" w:before="0" w:after="0"/>
      <w:ind w:left="720" w:hanging="0"/>
    </w:pPr>
    <w:rPr>
      <w:rFonts w:ascii="Calibri" w:hAnsi="Calibri" w:cs="Times New Roman"/>
    </w:rPr>
  </w:style>
  <w:style w:type="numbering" w:styleId="NoList" w:default="1">
    <w:name w:val="No List"/>
    <w:uiPriority w:val="99"/>
    <w:semiHidden/>
    <w:unhideWhenUsed/>
  </w:style>
  <w:style w:type="table" w:default="1" w:styleId="Navadnatabela">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LibreOffice/4.3.4.1$Windows_x86 LibreOffice_project/bc356b2f991740509f321d70e4512a6a54c5f243</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2015-04-03T08:43:00Z</dcterms:created>
  <dc:creator>simon leban</dc:creator>
  <dc:language>sl-SI</dc:language>
  <dcterms:modified xsi:type="dcterms:W3CDTF">2016-04-04T10:14:11Z</dcterms:modified>
  <cp:revision>5</cp:revision>
</cp:coreProperties>
</file>